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INFORMATIVA PER IL TRATTAMENTO DEI DATI PERSONALI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L’Ente Ecclesiastico Oratorio Centro Don Bosco, in persona del legale rappresentante pro tempore, con sede in Alessandria, Corso Acqui, 398, codice fiscale 00488630062.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(in seguito, “Titolare”), in qualità di titolare del trattamento, La informa ai sensi dell’art. 13 Regolamento UE n. 2016/679 (in seguito, “GDPR”) che i Suoi dati saranno trattati con Ie modalità e per le finalità di seguito indicate.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1. Oggetto del Trattamento 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Titolare tratta i dati personali (nome, cognome, indirizzo, telefono, e-mail, nonché ogni altro dato comune necessario per l’esperimento dell’attività dell’Ente), particolari (origine razziale ed etnica, convinzioni religiose, filosofiche o di altro genere,  adesione ad associazioni od organizzazioni a carattere religioso, filosofico, politico o sindacale, nonché idonei a rivelare lo stato di salute e la vita sessuale) e giudiziari (provvedimenti in materia di affidamento della prole, di status delle persone, di restrizione di visite e incontri, di casellario giudiziale, di anagrafe delle sanzioni amministrative dipendenti da reato e dei relativi carichi pendenti, nonché ogni altro dato di natura giudiziaria necessario per l’esperimento dell’attività dell’Ente da Lei comunicati in occasione dell’adesione ai servizi offerti dal Titolare.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2. Finalità del trattamento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Suoi dati personali sono trattati da Ente senza scopo di lucro, in riferimento a soggetti che hanno contatti regolari o aderenti, per il perseguimento di scopi determinati e legittimi individuati dall'atto costitutivo o dallo statuto.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Più in particolare, i dati da Lei conferiti vengono utilizzati dal Titolare per fornire servizi in favore di minori e/o maggiorenni di carattere educativo, formativo, religioso, culturale, sportivo, ricreativo, così come definiti nei programmi e nei documenti illustrativi eventualmente predisposti e disponibili presso l’Ente medesimo. 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oppure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  <w:tab/>
        <w:tab/>
        <w:t xml:space="preserve">Più in particolare, i dati da Lei conferiti vengono utilizzati dal Titolare per fornire il servizio di Centro Estivo, consistente nell’effettuazione di attività nel periodo estivo in favore di minori e/o maggiorenni di carattere educativo, formativo, religioso, culturale, sportivo, ricreativo, così come definiti nei programmi e nei documenti illustrativi eventualmente predisposti e disponibili presso l’Ente medesimo). 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3. Modalità del trattamento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Il trattamento dei Suoi dati personali è realizzato per mezzo delle operazioni indicate all’art. 4 n. 2) GDPR e precisamente: raccolta, registrazione, organizzazione, conservazione, consultazione, elaborazione, modificazione, selezione, estrazione, raffronto, utilizzo, blocco, comunicazione, cancellazione dei dati, sia in modalità cartacea che elettronica.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dati da Lei conferiti sono trattati, senza necessità di espresso consenso (art. 6 GDPR), per le seguenti finalità: aderire ai servizi proposti dal Titolare; adempiere agli obblighi precontrattuali, contrattuali e fiscali derivanti dall’attività svolta dal Titolare in relazione ai servizi resi; adempiere agli obblighi previsti dalla legge, dai regolamenti, dalla normativa comunitaria o da ordine dell’Autorità; esercitare i diritti propri del Titolare.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L’erogazione dei servizi di cui sopra potrà avvenire sia con metodologie tradizionali e “in presenza”, sia con l’utilizzo di strumenti tecnicamente adeguati, anche video e audio, in grado di consentire lo svolgersi di attività a distanza, garantendo una corretta protezione dei dati personali, in conformità alle previsioni dell’art 5 del Regolamento UE 2016/679.</w:t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4. Comunicazione dei dati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Suoi dati non sono diffusi né comunicati a terzi, salvo gli adempimenti di legge e l’ordine dell’Autorità, se non previo Suo esplicito consenso. 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La comunicazione a terzi avviene esclusivamente per consentire il corretto svolgimento dei servizi resi dal Titolare, limitandola al minimo indispensabile.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dati comuni, fermi restando i trattamenti effettuati in esecuzione di obblighi di legge, potranno essere comunicati e diffusi per i fini strumentali allo svolgimento delle attività del Titolare a soggetti terzi che siano legati ad essi da vincolo associativo o contrattuale, che ne condividano espressamente le finalità statutarie e che svolgano funzioni strettamente connesse e strumentali alla realizzazione delle attività promosse dall’Ente.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 dati particolari sensibili saranno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trattati e comunicati esclusivamente per lo svolgimento dell’attività in relazione alle esigenze di tutela manifestate dall’interessato; per garantirne lo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status giuridico ed i diritti ad esso connessi; per salvaguardare lo stato di salute dell’interessato, per l’esecuzione di obblighi di legge, nell’ambito della gestione di polizze assicurative concernenti la responsabilità civile, per evitare e prevenire l’insorgere di malattie, intossicazioni, allergie.</w:t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In particolare, i Suoi dati potranno essere comunicati a: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terzi gestori di servizi di trasporto, di mense e fornitura pasti;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pubbliche amministrazioni (ad es., Regione Piemonte, Comune di competenza, Uffici territoriali del MIUR e dell’Università) 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per l’adempimento degli obblighi di legge, anche in materia di comunicazione dei dati ai fini delle rilevazioni statistiche periodiche;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imprese ed enti incaricati di organizzare viaggi in altra sede, 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limitatamente ai dati strettamente necessari alla realizzazione delle attività medesime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trike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ASL e sorveglianza sanitaria;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consorzi di servizi sociali e socio-assistenziali, strutture residenziali, centri diurni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trike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fornitori di servizi, organizzati in proprio o per nostro conto, di carattere culturale, ludico o ricreativo, quali ad esempio: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before="0" w:lineRule="auto"/>
        <w:ind w:left="708" w:firstLine="0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- Associazioni Sportive Dilettantistiche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con le quali l’Ente gestore della scuola collabora nell’attivazione di percorsi educativo-sportivi specifici;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Rule="auto"/>
        <w:ind w:left="708" w:firstLine="0"/>
        <w:rPr>
          <w:rFonts w:ascii="Calibri" w:cs="Calibri" w:eastAsia="Calibri" w:hAnsi="Calibri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- Associazioni di Promozione Sociale o di Volontariato, Enti di solidarietà sociale, Enti Ecclesiastici civilmente riconosciuti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, con le quali l’Ente collabora per la promozione di percorsi educativi e ricreativi di ispirazione cristiana e salesiana, finalizzati ad integrare l’offerta formativa e a sensibilizzare gli oratoriani alla libera adesione a proposte di volontariato e all’impiego positivo e propositivo delle proprie competenze, acquisite in ambito ricreativo e scolastico;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Rule="auto"/>
        <w:ind w:left="708" w:firstLine="0"/>
        <w:rPr>
          <w:rFonts w:ascii="Calibri" w:cs="Calibri" w:eastAsia="Calibri" w:hAnsi="Calibri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- Associazione Ex-allievi, Associazione Giovanile Salesiana per il Territorio, Pastorale Giovanile Salesiana, Associazione Salesiani Cooperatori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con le quali l’Ente collabora, essendo realtà associative che nascono ed operano all’interno del contesto salesiano e dal quale mutuano ispirazione e carisma, al fine di sviluppare e promuovere percorsi educativi ed aggregativi diretti ad ampliare gli obiettivi formativi previsti dalla scuola, anche attraverso lo sviluppo delle qualità relazionali del singolo;</w:t>
      </w:r>
    </w:p>
    <w:p w:rsidR="00000000" w:rsidDel="00000000" w:rsidP="00000000" w:rsidRDefault="00000000" w:rsidRPr="00000000" w14:paraId="00000025">
      <w:pPr>
        <w:spacing w:after="0" w:before="0" w:lineRule="auto"/>
        <w:jc w:val="both"/>
        <w:rPr>
          <w:rFonts w:ascii="Calibri" w:cs="Calibri" w:eastAsia="Calibri" w:hAnsi="Calibri"/>
          <w:strike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5. Durata</w:t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Titolare tratterà i dati personali per il tempo necessario per adempiere alle finalità di cui sopra e comunque per non oltre 2 anni dalla cessazione del servizio per il quale i dati sono stati conferiti. I dati eventualmente ottenuti durante lo svolgimento di attività a distanza non saranno oggetto di conservazione e saranno comunque cancellati alla conclusione del servizio durante il quale sono stati raccolti.</w:t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 Obbligatorietà del trattamento</w:t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conferimento dei dati per le finalità sopra specificata è obbligatorio, in quanto, in loro assenza, non potranno essere erogati i servizi offerti dal Titolare.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7. Diritti dell’interessato</w:t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Nella Sua qualità di interessato, ha i diritti di cui all’art. 15 GDPR e precisamente i diritti di:</w:t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7.1 ottenere la conferma dell'esistenza o meno di dati personali che La riguardano, anche se non ancora registrati, e la loro comunicazione in forma intelligibile;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before="0" w:lineRule="auto"/>
        <w:ind w:left="36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ottenere l'indicazione: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Rule="auto"/>
        <w:ind w:left="0" w:firstLine="363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dell'origine dei dati personali;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Rule="auto"/>
        <w:ind w:left="0" w:firstLine="363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delle finalità̀ e modalità̀ del trattamento;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Rule="auto"/>
        <w:ind w:left="709" w:hanging="346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della logica applicata in caso di trattamento effettuato con l'ausilio di strumenti elettronici;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before="0" w:lineRule="auto"/>
        <w:ind w:left="709" w:hanging="346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degli estremi identificativi del titolare, dei responsabili e del rappresentante designato ai sensi dell'art. 3, comma 1, GDPR;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0" w:lineRule="auto"/>
        <w:ind w:left="709" w:hanging="346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dei soggetti o delle categorie di soggetti ai quali i dati personali possono essere comunicati o che possono venirne a conoscenza in qualità̀ di rappresentante designato nel territorio dello Stato, di responsabili o incaricati;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7.3 ottenere: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l'aggiornamento, la rettificazione ovvero, quando vi ha interesse, l'integrazione dei dati;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 cancellazione, la trasformazione in forma anonima o il blocco dei dati trattati in violazione di legge, compresi quelli di cui non è necessaria la conservazione in relazione agli scopi per i quali i dati sono stati raccolti o successivamente trattati;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7.4 opporsi, in tutto o in parte: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motivi legittimi al trattamento dei dati personali che La riguardano, ancorché́ pertinenti allo scopo della raccolta;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 trattamento di dati personali che La riguardano a fini di invio di materiale informativo, mediante e-mail e/o posta cartacea. </w:t>
      </w:r>
    </w:p>
    <w:p w:rsidR="00000000" w:rsidDel="00000000" w:rsidP="00000000" w:rsidRDefault="00000000" w:rsidRPr="00000000" w14:paraId="0000003C">
      <w:pPr>
        <w:spacing w:after="0"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7.5 esercitare i diritti di cui agli artt. 16-21 GDPR (diritto di rettifica, diritto all’oblio, diritto di limitazione di trattamento, diritto di opposizione), nonché́ il diritto di reclamo all’Autorità̀ Garante.</w:t>
      </w:r>
    </w:p>
    <w:p w:rsidR="00000000" w:rsidDel="00000000" w:rsidP="00000000" w:rsidRDefault="00000000" w:rsidRPr="00000000" w14:paraId="0000003D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8. Modalità di esercizio dei diritti</w:t>
      </w:r>
    </w:p>
    <w:p w:rsidR="00000000" w:rsidDel="00000000" w:rsidP="00000000" w:rsidRDefault="00000000" w:rsidRPr="00000000" w14:paraId="0000003F">
      <w:pPr>
        <w:spacing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Potrà in qualsiasi momento esercitare i Suoi diritti inviando al Responsabile del trattamento sig. Roberto Gorgerino una e-mail all’indirizzo roberto.gorgerino@31gennaio.net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1878012</wp:posOffset>
          </wp:positionH>
          <wp:positionV relativeFrom="paragraph">
            <wp:posOffset>-258803</wp:posOffset>
          </wp:positionV>
          <wp:extent cx="2364105" cy="5962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4105" cy="5962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Roman"/>
      <w:lvlText w:val="%2)"/>
      <w:lvlJc w:val="left"/>
      <w:pPr>
        <w:ind w:left="1800" w:hanging="72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2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D656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D656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D656F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CD656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D656F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2f61Ibv94Tn3DA0Z02lrWEPOIA==">AMUW2mXmb33sWqEt1FBXVh2xrqG51/YaWJyB0ipycqcmv9B1YZBzsB4HlP1RLppZQA1WbPLFgdnfMjkSO5FbKishKW1/mLrx5pK9Kf5R5WC636JuRffDUkP651uzTtxfb3Nql80xed01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2022-05-26T09:14:00Z</dcterms:created>
  <dc:creator>Oratorio Alessandria</dc:creator>
</cp:coreProperties>
</file>